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6154BFE" w:rsidP="517B964E" w:rsidRDefault="76154BFE" w14:paraId="2C0CFA8B" w14:textId="3FA045B1">
      <w:pPr>
        <w:jc w:val="center"/>
        <w:rPr>
          <w:rFonts w:ascii="Calibri" w:hAnsi="Calibri" w:cs="Calibri" w:asciiTheme="minorAscii" w:hAnsiTheme="minorAscii" w:cstheme="minorAscii"/>
          <w:sz w:val="24"/>
          <w:szCs w:val="24"/>
        </w:rPr>
      </w:pPr>
      <w:r w:rsidR="76154BFE">
        <w:drawing>
          <wp:inline wp14:editId="13C73B6E" wp14:anchorId="2E3C776D">
            <wp:extent cx="1224280" cy="1089660"/>
            <wp:effectExtent l="19050" t="0" r="0" b="0"/>
            <wp:docPr id="679068828" name="Picture 1" title=""/>
            <wp:cNvGraphicFramePr>
              <a:graphicFrameLocks noChangeAspect="1"/>
            </wp:cNvGraphicFramePr>
            <a:graphic>
              <a:graphicData uri="http://schemas.openxmlformats.org/drawingml/2006/picture">
                <pic:pic>
                  <pic:nvPicPr>
                    <pic:cNvPr id="0" name="Picture 1"/>
                    <pic:cNvPicPr/>
                  </pic:nvPicPr>
                  <pic:blipFill>
                    <a:blip r:embed="R9c11724df0e74d7c">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Pr="001A6F36" w:rsidR="00B53861" w:rsidP="517B964E" w:rsidRDefault="00B53861" w14:paraId="4869D7CA" w14:textId="5099A916">
      <w:pPr>
        <w:jc w:val="center"/>
        <w:rPr>
          <w:rFonts w:ascii="Calibri" w:hAnsi="Calibri" w:cs="Calibri" w:asciiTheme="minorAscii" w:hAnsiTheme="minorAscii" w:cstheme="minorAscii"/>
          <w:b w:val="1"/>
          <w:bCs w:val="1"/>
          <w:sz w:val="24"/>
          <w:szCs w:val="24"/>
        </w:rPr>
      </w:pPr>
      <w:bookmarkStart w:name="_Toc465928253" w:id="0"/>
      <w:bookmarkStart w:name="_Toc466449783" w:id="1"/>
      <w:r w:rsidRPr="517B964E" w:rsidR="00B53861">
        <w:rPr>
          <w:rFonts w:ascii="Calibri" w:hAnsi="Calibri" w:cs="Calibri" w:asciiTheme="minorAscii" w:hAnsiTheme="minorAscii" w:cstheme="minorAscii"/>
          <w:b w:val="1"/>
          <w:bCs w:val="1"/>
          <w:sz w:val="24"/>
          <w:szCs w:val="24"/>
        </w:rPr>
        <w:t xml:space="preserve">Moulton Pre-School – </w:t>
      </w:r>
      <w:r w:rsidRPr="517B964E" w:rsidR="000703C4">
        <w:rPr>
          <w:rFonts w:ascii="Calibri" w:hAnsi="Calibri" w:cs="Calibri" w:asciiTheme="minorAscii" w:hAnsiTheme="minorAscii" w:cstheme="minorAscii"/>
          <w:b w:val="1"/>
          <w:bCs w:val="1"/>
          <w:sz w:val="24"/>
          <w:szCs w:val="24"/>
        </w:rPr>
        <w:t xml:space="preserve">Working in partnership with </w:t>
      </w:r>
      <w:r w:rsidRPr="517B964E" w:rsidR="7B89D795">
        <w:rPr>
          <w:rFonts w:ascii="Calibri" w:hAnsi="Calibri" w:cs="Calibri" w:asciiTheme="minorAscii" w:hAnsiTheme="minorAscii" w:cstheme="minorAscii"/>
          <w:b w:val="1"/>
          <w:bCs w:val="1"/>
          <w:sz w:val="24"/>
          <w:szCs w:val="24"/>
        </w:rPr>
        <w:t>parents</w:t>
      </w:r>
      <w:r w:rsidRPr="517B964E" w:rsidR="000703C4">
        <w:rPr>
          <w:rFonts w:ascii="Calibri" w:hAnsi="Calibri" w:cs="Calibri" w:asciiTheme="minorAscii" w:hAnsiTheme="minorAscii" w:cstheme="minorAscii"/>
          <w:b w:val="1"/>
          <w:bCs w:val="1"/>
          <w:sz w:val="24"/>
          <w:szCs w:val="24"/>
        </w:rPr>
        <w:t xml:space="preserve"> p</w:t>
      </w:r>
      <w:r w:rsidRPr="517B964E" w:rsidR="00D56694">
        <w:rPr>
          <w:rFonts w:ascii="Calibri" w:hAnsi="Calibri" w:cs="Calibri" w:asciiTheme="minorAscii" w:hAnsiTheme="minorAscii" w:cstheme="minorAscii"/>
          <w:b w:val="1"/>
          <w:bCs w:val="1"/>
          <w:sz w:val="24"/>
          <w:szCs w:val="24"/>
        </w:rPr>
        <w:t>olicy</w:t>
      </w:r>
    </w:p>
    <w:p w:rsidRPr="001A6F36" w:rsidR="00B53861" w:rsidP="00B53861" w:rsidRDefault="00B53861" w14:paraId="672A6659" w14:textId="77777777">
      <w:pPr>
        <w:rPr>
          <w:rFonts w:asciiTheme="minorHAnsi" w:hAnsiTheme="minorHAnsi" w:cstheme="minorHAnsi"/>
          <w:sz w:val="24"/>
          <w:szCs w:val="24"/>
        </w:rPr>
      </w:pPr>
    </w:p>
    <w:tbl>
      <w:tblPr>
        <w:tblStyle w:val="TableGrid"/>
        <w:tblW w:w="9242" w:type="dxa"/>
        <w:tblInd w:w="622" w:type="dxa"/>
        <w:tblLook w:val="04A0" w:firstRow="1" w:lastRow="0" w:firstColumn="1" w:lastColumn="0" w:noHBand="0" w:noVBand="1"/>
      </w:tblPr>
      <w:tblGrid>
        <w:gridCol w:w="2835"/>
        <w:gridCol w:w="6407"/>
      </w:tblGrid>
      <w:tr w:rsidRPr="001A6F36" w:rsidR="00B53861" w:rsidTr="517B964E" w14:paraId="5EA83D67" w14:textId="77777777">
        <w:tc>
          <w:tcPr>
            <w:tcW w:w="2835" w:type="dxa"/>
            <w:tcMar/>
          </w:tcPr>
          <w:p w:rsidRPr="001A6F36" w:rsidR="00B53861" w:rsidP="00FE6EDB" w:rsidRDefault="00B53861" w14:paraId="16808EAA" w14:textId="77777777">
            <w:pPr>
              <w:rPr>
                <w:rFonts w:asciiTheme="minorHAnsi" w:hAnsiTheme="minorHAnsi" w:cstheme="minorHAnsi"/>
                <w:b/>
                <w:sz w:val="24"/>
                <w:szCs w:val="24"/>
              </w:rPr>
            </w:pPr>
            <w:r w:rsidRPr="001A6F36">
              <w:rPr>
                <w:rFonts w:asciiTheme="minorHAnsi" w:hAnsiTheme="minorHAnsi" w:cstheme="minorHAnsi"/>
                <w:b/>
                <w:sz w:val="24"/>
                <w:szCs w:val="24"/>
              </w:rPr>
              <w:t>Version:</w:t>
            </w:r>
          </w:p>
        </w:tc>
        <w:tc>
          <w:tcPr>
            <w:tcW w:w="6407" w:type="dxa"/>
            <w:tcMar/>
          </w:tcPr>
          <w:p w:rsidRPr="001A6F36" w:rsidR="00B53861" w:rsidP="4CA923E1" w:rsidRDefault="0D5519DC" w14:paraId="4B3AA50C" w14:textId="01ADE63F">
            <w:pPr>
              <w:rPr>
                <w:rFonts w:asciiTheme="minorHAnsi" w:hAnsiTheme="minorHAnsi" w:cstheme="minorHAnsi"/>
                <w:sz w:val="24"/>
                <w:szCs w:val="24"/>
              </w:rPr>
            </w:pPr>
            <w:r w:rsidRPr="001A6F36">
              <w:rPr>
                <w:rFonts w:asciiTheme="minorHAnsi" w:hAnsiTheme="minorHAnsi" w:cstheme="minorHAnsi"/>
                <w:sz w:val="24"/>
                <w:szCs w:val="24"/>
              </w:rPr>
              <w:t>2</w:t>
            </w:r>
            <w:r w:rsidRPr="001A6F36" w:rsidR="00B53861">
              <w:rPr>
                <w:rFonts w:asciiTheme="minorHAnsi" w:hAnsiTheme="minorHAnsi" w:cstheme="minorHAnsi"/>
                <w:sz w:val="24"/>
                <w:szCs w:val="24"/>
              </w:rPr>
              <w:t>.</w:t>
            </w:r>
            <w:r w:rsidRPr="001A6F36" w:rsidR="001A6F36">
              <w:rPr>
                <w:rFonts w:asciiTheme="minorHAnsi" w:hAnsiTheme="minorHAnsi" w:cstheme="minorHAnsi"/>
                <w:sz w:val="24"/>
                <w:szCs w:val="24"/>
              </w:rPr>
              <w:t>1</w:t>
            </w:r>
          </w:p>
        </w:tc>
      </w:tr>
      <w:tr w:rsidRPr="001A6F36" w:rsidR="00B53861" w:rsidTr="517B964E" w14:paraId="33B8C6BD" w14:textId="77777777">
        <w:tc>
          <w:tcPr>
            <w:tcW w:w="2835" w:type="dxa"/>
            <w:tcMar/>
          </w:tcPr>
          <w:p w:rsidRPr="001A6F36" w:rsidR="00B53861" w:rsidP="00FE6EDB" w:rsidRDefault="00B53861" w14:paraId="03676DF2" w14:textId="77777777">
            <w:pPr>
              <w:rPr>
                <w:rFonts w:asciiTheme="minorHAnsi" w:hAnsiTheme="minorHAnsi" w:cstheme="minorHAnsi"/>
                <w:b/>
                <w:sz w:val="24"/>
                <w:szCs w:val="24"/>
              </w:rPr>
            </w:pPr>
            <w:r w:rsidRPr="001A6F36">
              <w:rPr>
                <w:rFonts w:asciiTheme="minorHAnsi" w:hAnsiTheme="minorHAnsi" w:cstheme="minorHAnsi"/>
                <w:b/>
                <w:sz w:val="24"/>
                <w:szCs w:val="24"/>
              </w:rPr>
              <w:t>Author:</w:t>
            </w:r>
          </w:p>
        </w:tc>
        <w:tc>
          <w:tcPr>
            <w:tcW w:w="6407" w:type="dxa"/>
            <w:tcMar/>
          </w:tcPr>
          <w:p w:rsidRPr="001A6F36" w:rsidR="00B53861" w:rsidP="4CA923E1" w:rsidRDefault="001A6F36" w14:paraId="57CEC586" w14:textId="3F30632C">
            <w:pPr>
              <w:rPr>
                <w:rFonts w:asciiTheme="minorHAnsi" w:hAnsiTheme="minorHAnsi" w:cstheme="minorHAnsi"/>
                <w:sz w:val="24"/>
                <w:szCs w:val="24"/>
              </w:rPr>
            </w:pPr>
            <w:r w:rsidRPr="001A6F36">
              <w:rPr>
                <w:rFonts w:asciiTheme="minorHAnsi" w:hAnsiTheme="minorHAnsi" w:cstheme="minorHAnsi"/>
                <w:sz w:val="24"/>
                <w:szCs w:val="24"/>
              </w:rPr>
              <w:t>Alexander Bowers</w:t>
            </w:r>
          </w:p>
        </w:tc>
      </w:tr>
      <w:tr w:rsidRPr="001A6F36" w:rsidR="00B53861" w:rsidTr="517B964E" w14:paraId="7425ACF9" w14:textId="77777777">
        <w:tc>
          <w:tcPr>
            <w:tcW w:w="2835" w:type="dxa"/>
            <w:tcMar/>
          </w:tcPr>
          <w:p w:rsidRPr="001A6F36" w:rsidR="00B53861" w:rsidP="00FE6EDB" w:rsidRDefault="00B53861" w14:paraId="12B9280E" w14:textId="77777777">
            <w:pPr>
              <w:rPr>
                <w:rFonts w:asciiTheme="minorHAnsi" w:hAnsiTheme="minorHAnsi" w:cstheme="minorHAnsi"/>
                <w:b/>
                <w:sz w:val="24"/>
                <w:szCs w:val="24"/>
              </w:rPr>
            </w:pPr>
            <w:r w:rsidRPr="001A6F36">
              <w:rPr>
                <w:rFonts w:asciiTheme="minorHAnsi" w:hAnsiTheme="minorHAnsi" w:cstheme="minorHAnsi"/>
                <w:b/>
                <w:sz w:val="24"/>
                <w:szCs w:val="24"/>
              </w:rPr>
              <w:t>Approved and signed by:</w:t>
            </w:r>
          </w:p>
        </w:tc>
        <w:tc>
          <w:tcPr>
            <w:tcW w:w="6407" w:type="dxa"/>
            <w:tcMar/>
          </w:tcPr>
          <w:p w:rsidRPr="001A6F36" w:rsidR="00B53861" w:rsidP="00FE6EDB" w:rsidRDefault="00B53861" w14:paraId="5EFFB338" w14:textId="77777777">
            <w:pPr>
              <w:rPr>
                <w:rFonts w:asciiTheme="minorHAnsi" w:hAnsiTheme="minorHAnsi" w:cstheme="minorHAnsi"/>
                <w:sz w:val="24"/>
                <w:szCs w:val="24"/>
              </w:rPr>
            </w:pPr>
            <w:r w:rsidRPr="001A6F36">
              <w:rPr>
                <w:rFonts w:asciiTheme="minorHAnsi" w:hAnsiTheme="minorHAnsi" w:cstheme="minorHAnsi"/>
                <w:sz w:val="24"/>
                <w:szCs w:val="24"/>
              </w:rPr>
              <w:t>Moulton Pre-School Committee</w:t>
            </w:r>
          </w:p>
        </w:tc>
      </w:tr>
      <w:tr w:rsidRPr="001A6F36" w:rsidR="00000FD7" w:rsidTr="517B964E" w14:paraId="75758C48" w14:textId="77777777">
        <w:tc>
          <w:tcPr>
            <w:tcW w:w="2835" w:type="dxa"/>
            <w:tcMar/>
          </w:tcPr>
          <w:p w:rsidRPr="001A6F36" w:rsidR="00000FD7" w:rsidP="00FE6EDB" w:rsidRDefault="00000FD7" w14:paraId="3101716D" w14:textId="77777777">
            <w:pPr>
              <w:rPr>
                <w:rFonts w:asciiTheme="minorHAnsi" w:hAnsiTheme="minorHAnsi" w:cstheme="minorHAnsi"/>
                <w:b/>
                <w:sz w:val="24"/>
                <w:szCs w:val="24"/>
              </w:rPr>
            </w:pPr>
            <w:r w:rsidRPr="001A6F36">
              <w:rPr>
                <w:rFonts w:asciiTheme="minorHAnsi" w:hAnsiTheme="minorHAnsi" w:cstheme="minorHAnsi"/>
                <w:b/>
                <w:sz w:val="24"/>
                <w:szCs w:val="24"/>
              </w:rPr>
              <w:t>Date:</w:t>
            </w:r>
          </w:p>
        </w:tc>
        <w:tc>
          <w:tcPr>
            <w:tcW w:w="6407" w:type="dxa"/>
            <w:tcMar/>
          </w:tcPr>
          <w:p w:rsidRPr="001A6F36" w:rsidR="00000FD7" w:rsidP="4CA923E1" w:rsidRDefault="001A6F36" w14:paraId="28D64569" w14:textId="4B351291">
            <w:pPr>
              <w:snapToGrid w:val="0"/>
              <w:rPr>
                <w:rFonts w:asciiTheme="minorHAnsi" w:hAnsiTheme="minorHAnsi" w:cstheme="minorHAnsi"/>
                <w:sz w:val="24"/>
                <w:szCs w:val="24"/>
              </w:rPr>
            </w:pPr>
            <w:r w:rsidRPr="001A6F36">
              <w:rPr>
                <w:rFonts w:asciiTheme="minorHAnsi" w:hAnsiTheme="minorHAnsi" w:cstheme="minorHAnsi"/>
                <w:sz w:val="24"/>
                <w:szCs w:val="24"/>
              </w:rPr>
              <w:t>March 2024</w:t>
            </w:r>
          </w:p>
        </w:tc>
      </w:tr>
      <w:tr w:rsidRPr="001A6F36" w:rsidR="00000FD7" w:rsidTr="517B964E" w14:paraId="3D2C3E1A" w14:textId="77777777">
        <w:tc>
          <w:tcPr>
            <w:tcW w:w="2835" w:type="dxa"/>
            <w:tcMar/>
          </w:tcPr>
          <w:p w:rsidRPr="001A6F36" w:rsidR="00000FD7" w:rsidP="00FE6EDB" w:rsidRDefault="00000FD7" w14:paraId="181D7A29" w14:textId="77777777">
            <w:pPr>
              <w:rPr>
                <w:rFonts w:asciiTheme="minorHAnsi" w:hAnsiTheme="minorHAnsi" w:cstheme="minorHAnsi"/>
                <w:b/>
                <w:sz w:val="24"/>
                <w:szCs w:val="24"/>
              </w:rPr>
            </w:pPr>
            <w:r w:rsidRPr="001A6F36">
              <w:rPr>
                <w:rFonts w:asciiTheme="minorHAnsi" w:hAnsiTheme="minorHAnsi" w:cstheme="minorHAnsi"/>
                <w:b/>
                <w:sz w:val="24"/>
                <w:szCs w:val="24"/>
              </w:rPr>
              <w:t>Review Date:</w:t>
            </w:r>
          </w:p>
        </w:tc>
        <w:tc>
          <w:tcPr>
            <w:tcW w:w="6407" w:type="dxa"/>
            <w:tcMar/>
          </w:tcPr>
          <w:p w:rsidRPr="001A6F36" w:rsidR="00000FD7" w:rsidP="517B964E" w:rsidRDefault="001A6F36" w14:paraId="07CF6614" w14:textId="75DF9F91">
            <w:pPr>
              <w:snapToGrid w:val="0"/>
              <w:rPr>
                <w:rFonts w:ascii="Calibri" w:hAnsi="Calibri" w:cs="Calibri" w:asciiTheme="minorAscii" w:hAnsiTheme="minorAscii" w:cstheme="minorAscii"/>
                <w:sz w:val="24"/>
                <w:szCs w:val="24"/>
              </w:rPr>
            </w:pPr>
            <w:r w:rsidRPr="517B964E" w:rsidR="4F52B03D">
              <w:rPr>
                <w:rFonts w:ascii="Calibri" w:hAnsi="Calibri" w:cs="Calibri" w:asciiTheme="minorAscii" w:hAnsiTheme="minorAscii" w:cstheme="minorAscii"/>
                <w:sz w:val="24"/>
                <w:szCs w:val="24"/>
              </w:rPr>
              <w:t>01/04/2026</w:t>
            </w:r>
          </w:p>
        </w:tc>
      </w:tr>
    </w:tbl>
    <w:p w:rsidRPr="001A6F36" w:rsidR="00B53861" w:rsidP="517B964E" w:rsidRDefault="00B53861" w14:paraId="241275AE" w14:textId="77777777" w14:noSpellErr="1">
      <w:pPr>
        <w:rPr>
          <w:rFonts w:ascii="Calibri" w:hAnsi="Calibri" w:cs="Calibri" w:asciiTheme="minorAscii" w:hAnsiTheme="minorAscii" w:cstheme="minorAscii"/>
          <w:sz w:val="24"/>
          <w:szCs w:val="24"/>
        </w:rPr>
      </w:pPr>
    </w:p>
    <w:p w:rsidRPr="001A6F36" w:rsidR="00E24388" w:rsidP="001A6F36" w:rsidRDefault="00B53861" w14:paraId="263D1E38" w14:textId="77777777">
      <w:pPr>
        <w:pStyle w:val="Heading1"/>
      </w:pPr>
      <w:r w:rsidRPr="001A6F36">
        <w:br w:type="page"/>
      </w:r>
      <w:bookmarkStart w:name="_Toc465928290" w:id="2"/>
      <w:bookmarkStart w:name="_Toc466449820" w:id="3"/>
      <w:r w:rsidRPr="001A6F36" w:rsidR="00E24388">
        <w:lastRenderedPageBreak/>
        <w:t>Parental Partnership</w:t>
      </w:r>
      <w:bookmarkEnd w:id="2"/>
      <w:bookmarkEnd w:id="3"/>
    </w:p>
    <w:p w:rsidRPr="001A6F36" w:rsidR="00E24388" w:rsidP="00E24388" w:rsidRDefault="00E24388" w14:paraId="0A37501D" w14:textId="77777777">
      <w:pPr>
        <w:jc w:val="center"/>
        <w:rPr>
          <w:rFonts w:asciiTheme="minorHAnsi" w:hAnsiTheme="minorHAnsi" w:cstheme="minorHAnsi"/>
          <w:sz w:val="24"/>
          <w:szCs w:val="24"/>
        </w:rPr>
      </w:pPr>
    </w:p>
    <w:p w:rsidRPr="001A6F36" w:rsidR="00E24388" w:rsidP="00E24388" w:rsidRDefault="00E24388" w14:paraId="1631DEF5" w14:textId="77777777">
      <w:pPr>
        <w:pStyle w:val="ecmsonormal"/>
        <w:shd w:val="clear" w:color="auto" w:fill="FFFFFF"/>
        <w:jc w:val="center"/>
        <w:rPr>
          <w:rFonts w:asciiTheme="minorHAnsi" w:hAnsiTheme="minorHAnsi" w:cstheme="minorHAnsi"/>
          <w:b/>
          <w:i/>
          <w:snapToGrid w:val="0"/>
        </w:rPr>
      </w:pPr>
      <w:r w:rsidRPr="001A6F36">
        <w:rPr>
          <w:rFonts w:asciiTheme="minorHAnsi" w:hAnsiTheme="minorHAnsi" w:cstheme="minorHAnsi"/>
          <w:b/>
          <w:i/>
          <w:snapToGrid w:val="0"/>
        </w:rPr>
        <w:t>Moulton Pre-school is committed to safeguarding and promoting the welfare of children, young people and adults at all times and expects everybody working within this setting to share this commitment.</w:t>
      </w:r>
    </w:p>
    <w:p w:rsidRPr="001A6F36" w:rsidR="00E24388" w:rsidP="00E24388" w:rsidRDefault="00E24388" w14:paraId="439D0F9E" w14:textId="77777777">
      <w:pPr>
        <w:pStyle w:val="Heading2"/>
        <w:jc w:val="both"/>
        <w:rPr>
          <w:rFonts w:asciiTheme="minorHAnsi" w:hAnsiTheme="minorHAnsi" w:cstheme="minorHAnsi"/>
          <w:sz w:val="24"/>
          <w:szCs w:val="24"/>
        </w:rPr>
      </w:pPr>
      <w:bookmarkStart w:name="_Toc465928291" w:id="4"/>
      <w:bookmarkStart w:name="_Toc466449821" w:id="5"/>
      <w:r w:rsidRPr="001A6F36">
        <w:rPr>
          <w:rFonts w:asciiTheme="minorHAnsi" w:hAnsiTheme="minorHAnsi" w:cstheme="minorHAnsi"/>
          <w:sz w:val="24"/>
          <w:szCs w:val="24"/>
        </w:rPr>
        <w:t>Policy statement</w:t>
      </w:r>
      <w:bookmarkEnd w:id="4"/>
      <w:bookmarkEnd w:id="5"/>
    </w:p>
    <w:p w:rsidRPr="001A6F36" w:rsidR="00E24388" w:rsidP="00E24388" w:rsidRDefault="00E24388" w14:paraId="5B2E2ACF" w14:textId="77777777">
      <w:pPr>
        <w:spacing w:after="240"/>
        <w:jc w:val="both"/>
        <w:rPr>
          <w:rFonts w:asciiTheme="minorHAnsi" w:hAnsiTheme="minorHAnsi" w:cstheme="minorHAnsi"/>
          <w:sz w:val="24"/>
          <w:szCs w:val="24"/>
        </w:rPr>
      </w:pPr>
      <w:r w:rsidRPr="001A6F36">
        <w:rPr>
          <w:rFonts w:asciiTheme="minorHAnsi" w:hAnsiTheme="minorHAnsi" w:cstheme="minorHAnsi"/>
          <w:sz w:val="24"/>
          <w:szCs w:val="24"/>
        </w:rPr>
        <w:t>We believe that children benefit most from early years education and care when parents and settings work together in partnership.</w:t>
      </w:r>
    </w:p>
    <w:p w:rsidRPr="001A6F36" w:rsidR="00E24388" w:rsidP="00E24388" w:rsidRDefault="00E24388" w14:paraId="1DDBF68D" w14:textId="77777777">
      <w:pPr>
        <w:spacing w:after="240"/>
        <w:jc w:val="both"/>
        <w:rPr>
          <w:rFonts w:asciiTheme="minorHAnsi" w:hAnsiTheme="minorHAnsi" w:cstheme="minorHAnsi"/>
          <w:sz w:val="24"/>
          <w:szCs w:val="24"/>
        </w:rPr>
      </w:pPr>
      <w:r w:rsidRPr="001A6F36">
        <w:rPr>
          <w:rFonts w:asciiTheme="minorHAnsi" w:hAnsiTheme="minorHAnsi" w:cstheme="minorHAnsi"/>
          <w:sz w:val="24"/>
          <w:szCs w:val="24"/>
        </w:rPr>
        <w:t>Our aim is to support parents as their children's first and most important educators by involving them in their children's education and in the full life of the setting. We also aim to support parents in their own continuing education and personal development.</w:t>
      </w:r>
    </w:p>
    <w:p w:rsidRPr="001A6F36" w:rsidR="00E24388" w:rsidP="00E24388" w:rsidRDefault="00E24388" w14:paraId="0EA37F17" w14:textId="77777777">
      <w:pPr>
        <w:spacing w:after="240"/>
        <w:jc w:val="both"/>
        <w:rPr>
          <w:rFonts w:asciiTheme="minorHAnsi" w:hAnsiTheme="minorHAnsi" w:cstheme="minorHAnsi"/>
          <w:sz w:val="24"/>
          <w:szCs w:val="24"/>
        </w:rPr>
      </w:pPr>
      <w:r w:rsidRPr="001A6F36">
        <w:rPr>
          <w:rFonts w:asciiTheme="minorHAnsi" w:hAnsiTheme="minorHAnsi" w:cstheme="minorHAnsi"/>
          <w:sz w:val="24"/>
          <w:szCs w:val="24"/>
        </w:rPr>
        <w:t>Some parents are less well represented in early years settings; these include fathers, parents who live apart from their children but who still play a part in their lives as well as working parents. In carrying out the following procedures, we will ensure all parents are included.</w:t>
      </w:r>
    </w:p>
    <w:p w:rsidRPr="001A6F36" w:rsidR="00E24388" w:rsidP="00E24388" w:rsidRDefault="00E24388" w14:paraId="6DF56461" w14:textId="77777777">
      <w:pPr>
        <w:spacing w:after="240"/>
        <w:jc w:val="both"/>
        <w:rPr>
          <w:rFonts w:asciiTheme="minorHAnsi" w:hAnsiTheme="minorHAnsi" w:cstheme="minorHAnsi"/>
          <w:sz w:val="24"/>
          <w:szCs w:val="24"/>
        </w:rPr>
      </w:pPr>
      <w:r w:rsidRPr="001A6F36">
        <w:rPr>
          <w:rFonts w:asciiTheme="minorHAnsi" w:hAnsiTheme="minorHAnsi" w:cstheme="minorHAnsi"/>
          <w:sz w:val="24"/>
          <w:szCs w:val="24"/>
        </w:rPr>
        <w:t>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w:t>
      </w:r>
    </w:p>
    <w:p w:rsidRPr="001A6F36" w:rsidR="00E24388" w:rsidP="00E24388" w:rsidRDefault="00E24388" w14:paraId="6BF13586" w14:textId="77777777">
      <w:pPr>
        <w:jc w:val="both"/>
        <w:rPr>
          <w:rFonts w:asciiTheme="minorHAnsi" w:hAnsiTheme="minorHAnsi" w:cstheme="minorHAnsi"/>
          <w:sz w:val="24"/>
          <w:szCs w:val="24"/>
        </w:rPr>
      </w:pPr>
      <w:r w:rsidRPr="001A6F36">
        <w:rPr>
          <w:rFonts w:asciiTheme="minorHAnsi" w:hAnsiTheme="minorHAnsi" w:cstheme="minorHAnsi"/>
          <w:sz w:val="24"/>
          <w:szCs w:val="24"/>
        </w:rPr>
        <w:t>The Children Act (1989) defines parental responsibility as ‘all the rights, duties, powers, responsibilities and authority which by law a parent of a child has in relation to the child and his property.</w:t>
      </w:r>
    </w:p>
    <w:p w:rsidRPr="001A6F36" w:rsidR="001A6F36" w:rsidP="00E24388" w:rsidRDefault="001A6F36" w14:paraId="235FE78D" w14:textId="77777777">
      <w:pPr>
        <w:jc w:val="both"/>
        <w:rPr>
          <w:rFonts w:asciiTheme="minorHAnsi" w:hAnsiTheme="minorHAnsi" w:cstheme="minorHAnsi"/>
          <w:sz w:val="24"/>
          <w:szCs w:val="24"/>
        </w:rPr>
      </w:pPr>
    </w:p>
    <w:p w:rsidRPr="001A6F36" w:rsidR="001A6F36" w:rsidP="001A6F36" w:rsidRDefault="001A6F36" w14:paraId="73A54687" w14:textId="77777777">
      <w:pPr>
        <w:spacing w:before="120" w:after="120" w:line="360" w:lineRule="auto"/>
        <w:rPr>
          <w:rFonts w:asciiTheme="minorHAnsi" w:hAnsiTheme="minorHAnsi" w:cstheme="minorHAnsi"/>
          <w:sz w:val="24"/>
          <w:szCs w:val="24"/>
        </w:rPr>
      </w:pPr>
      <w:r w:rsidRPr="001A6F36">
        <w:rPr>
          <w:rFonts w:asciiTheme="minorHAnsi" w:hAnsiTheme="minorHAnsi" w:cstheme="minorHAnsi"/>
          <w:b/>
          <w:sz w:val="24"/>
          <w:szCs w:val="24"/>
        </w:rPr>
        <w:t>Working in partnership with parents and other agencies</w:t>
      </w:r>
    </w:p>
    <w:p w:rsidRPr="001A6F36" w:rsidR="001A6F36" w:rsidP="001A6F36" w:rsidRDefault="001A6F36" w14:paraId="268F8EDF" w14:textId="77777777">
      <w:pPr>
        <w:spacing w:before="120" w:after="120" w:line="360" w:lineRule="auto"/>
        <w:rPr>
          <w:rFonts w:asciiTheme="minorHAnsi" w:hAnsiTheme="minorHAnsi" w:cstheme="minorHAnsi"/>
          <w:sz w:val="24"/>
          <w:szCs w:val="24"/>
        </w:rPr>
      </w:pPr>
      <w:r w:rsidRPr="001A6F36">
        <w:rPr>
          <w:rFonts w:asciiTheme="minorHAnsi" w:hAnsiTheme="minorHAnsi" w:cstheme="minorHAnsi"/>
          <w:sz w:val="24"/>
          <w:szCs w:val="24"/>
        </w:rPr>
        <w:t xml:space="preserve">We believe that families are central in all services we provide for young children. They are involved in all aspects of their child’s </w:t>
      </w:r>
      <w:proofErr w:type="gramStart"/>
      <w:r w:rsidRPr="001A6F36">
        <w:rPr>
          <w:rFonts w:asciiTheme="minorHAnsi" w:hAnsiTheme="minorHAnsi" w:cstheme="minorHAnsi"/>
          <w:sz w:val="24"/>
          <w:szCs w:val="24"/>
        </w:rPr>
        <w:t>care,</w:t>
      </w:r>
      <w:proofErr w:type="gramEnd"/>
      <w:r w:rsidRPr="001A6F36">
        <w:rPr>
          <w:rFonts w:asciiTheme="minorHAnsi" w:hAnsiTheme="minorHAnsi" w:cstheme="minorHAnsi"/>
          <w:sz w:val="24"/>
          <w:szCs w:val="24"/>
        </w:rPr>
        <w:t xml:space="preserve"> their views are actively sought and they are actively involved in the running of the setting in various ways.</w:t>
      </w:r>
    </w:p>
    <w:p w:rsidRPr="001A6F36" w:rsidR="001A6F36" w:rsidP="001A6F36" w:rsidRDefault="001A6F36" w14:paraId="6C68D527" w14:textId="77777777">
      <w:pPr>
        <w:spacing w:before="120" w:after="120" w:line="360" w:lineRule="auto"/>
        <w:rPr>
          <w:rFonts w:asciiTheme="minorHAnsi" w:hAnsiTheme="minorHAnsi" w:cstheme="minorHAnsi"/>
          <w:bCs/>
          <w:sz w:val="24"/>
          <w:szCs w:val="24"/>
        </w:rPr>
      </w:pPr>
      <w:r w:rsidRPr="001A6F36">
        <w:rPr>
          <w:rFonts w:asciiTheme="minorHAnsi" w:hAnsiTheme="minorHAnsi" w:cstheme="minorHAnsi"/>
          <w:bCs/>
          <w:sz w:val="24"/>
          <w:szCs w:val="24"/>
        </w:rPr>
        <w:t>We work in partnership with local and national agencies to promote the well-being of all children.</w:t>
      </w:r>
    </w:p>
    <w:p w:rsidRPr="001A6F36" w:rsidR="001A6F36" w:rsidP="001A6F36" w:rsidRDefault="001A6F36" w14:paraId="0CC638B3" w14:textId="77777777">
      <w:pPr>
        <w:pStyle w:val="Heading1"/>
      </w:pPr>
      <w:r w:rsidRPr="001A6F36">
        <w:t>Families</w:t>
      </w:r>
    </w:p>
    <w:p w:rsidRPr="001A6F36" w:rsidR="001A6F36" w:rsidP="001A6F36" w:rsidRDefault="001A6F36" w14:paraId="2B79E459"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Parents are provided with written information about the setting, including the setting’s safeguarding actions and responsibilities under the Prevent Duty</w:t>
      </w:r>
    </w:p>
    <w:p w:rsidRPr="001A6F36" w:rsidR="001A6F36" w:rsidP="001A6F36" w:rsidRDefault="001A6F36" w14:paraId="7E3A0272"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Parents are made to feel welcome in the setting; they are greeted appropriately, there is adult seating and provision for refreshment.</w:t>
      </w:r>
    </w:p>
    <w:p w:rsidRPr="001A6F36" w:rsidR="001A6F36" w:rsidP="001A6F36" w:rsidRDefault="001A6F36" w14:paraId="127CC0A2"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Every effort is made to accommodate parents who have a disability or impairment.</w:t>
      </w:r>
    </w:p>
    <w:p w:rsidRPr="001A6F36" w:rsidR="001A6F36" w:rsidP="001A6F36" w:rsidRDefault="001A6F36" w14:paraId="56F6CC02"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The expectations we make on parents are made clear at the point of registration.</w:t>
      </w:r>
    </w:p>
    <w:p w:rsidRPr="001A6F36" w:rsidR="001A6F36" w:rsidP="001A6F36" w:rsidRDefault="001A6F36" w14:paraId="54FD5BAA"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There is a clear expectation that parents will participate in settling their child at the commencement of a place according to an agreed plan.</w:t>
      </w:r>
    </w:p>
    <w:p w:rsidRPr="001A6F36" w:rsidR="001A6F36" w:rsidP="001A6F36" w:rsidRDefault="001A6F36" w14:paraId="16B27B07"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lastRenderedPageBreak/>
        <w:t>There is sufficient opportunity for parents to share necessary information with staff and this is recorded and stored to protect confidentiality.</w:t>
      </w:r>
    </w:p>
    <w:p w:rsidRPr="001A6F36" w:rsidR="001A6F36" w:rsidP="001A6F36" w:rsidRDefault="001A6F36" w14:paraId="58266F18" w14:textId="77777777">
      <w:pPr>
        <w:pStyle w:val="ListParagraph"/>
        <w:numPr>
          <w:ilvl w:val="0"/>
          <w:numId w:val="21"/>
        </w:numPr>
        <w:tabs>
          <w:tab w:val="clear" w:pos="720"/>
          <w:tab w:val="num" w:pos="363"/>
        </w:tabs>
        <w:spacing w:before="120" w:after="120" w:line="360" w:lineRule="auto"/>
        <w:ind w:left="363"/>
        <w:contextualSpacing w:val="0"/>
        <w:rPr>
          <w:rFonts w:asciiTheme="minorHAnsi" w:hAnsiTheme="minorHAnsi" w:cstheme="minorHAnsi"/>
        </w:rPr>
      </w:pPr>
      <w:r w:rsidRPr="001A6F36">
        <w:rPr>
          <w:rFonts w:asciiTheme="minorHAnsi" w:hAnsiTheme="minorHAnsi" w:cstheme="minorHAnsi"/>
        </w:rPr>
        <w:t>Key persons support parents in their role as the child’s first and most enduring educators.</w:t>
      </w:r>
    </w:p>
    <w:p w:rsidRPr="001A6F36" w:rsidR="001A6F36" w:rsidP="001A6F36" w:rsidRDefault="001A6F36" w14:paraId="5580C45C"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Key persons regularly meet with parents to discuss their child’s learning and development and to share concerns if they arise.</w:t>
      </w:r>
    </w:p>
    <w:p w:rsidRPr="001A6F36" w:rsidR="001A6F36" w:rsidP="001A6F36" w:rsidRDefault="001A6F36" w14:paraId="47F9D2B1"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Key persons work with parents to carry out an agreed plan to support a child’s special educational needs.</w:t>
      </w:r>
    </w:p>
    <w:p w:rsidRPr="001A6F36" w:rsidR="001A6F36" w:rsidP="001A6F36" w:rsidRDefault="001A6F36" w14:paraId="56149EE6"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Key persons work with parents to carry out any agreed tasks where a child protection plan is in place.</w:t>
      </w:r>
    </w:p>
    <w:p w:rsidRPr="001A6F36" w:rsidR="001A6F36" w:rsidP="001A6F36" w:rsidRDefault="001A6F36" w14:paraId="7020CC25"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According to the nature of the setting, there is provision for families to be involved in activities that promote their own learning and well-being.</w:t>
      </w:r>
    </w:p>
    <w:p w:rsidRPr="001A6F36" w:rsidR="001A6F36" w:rsidP="001A6F36" w:rsidRDefault="001A6F36" w14:paraId="3544AB8A" w14:textId="77777777">
      <w:pPr>
        <w:widowControl/>
        <w:numPr>
          <w:ilvl w:val="0"/>
          <w:numId w:val="22"/>
        </w:numPr>
        <w:tabs>
          <w:tab w:val="clear" w:pos="720"/>
          <w:tab w:val="num" w:pos="363"/>
        </w:tabs>
        <w:spacing w:before="120" w:after="120" w:line="360" w:lineRule="auto"/>
        <w:ind w:left="363"/>
        <w:rPr>
          <w:rFonts w:asciiTheme="minorHAnsi" w:hAnsiTheme="minorHAnsi" w:cstheme="minorHAnsi"/>
          <w:sz w:val="24"/>
          <w:szCs w:val="24"/>
        </w:rPr>
      </w:pPr>
      <w:r w:rsidRPr="001A6F36">
        <w:rPr>
          <w:rFonts w:asciiTheme="minorHAnsi" w:hAnsiTheme="minorHAnsi" w:cstheme="minorHAnsi"/>
          <w:sz w:val="24"/>
          <w:szCs w:val="24"/>
        </w:rPr>
        <w:t>Parents are involved in the social and cultural life of the setting and actively contribute.</w:t>
      </w:r>
    </w:p>
    <w:p w:rsidRPr="001A6F36" w:rsidR="001A6F36" w:rsidP="001A6F36" w:rsidRDefault="001A6F36" w14:paraId="2675AFF7" w14:textId="77777777">
      <w:pPr>
        <w:widowControl/>
        <w:numPr>
          <w:ilvl w:val="0"/>
          <w:numId w:val="22"/>
        </w:numPr>
        <w:tabs>
          <w:tab w:val="clear" w:pos="720"/>
          <w:tab w:val="num" w:pos="363"/>
        </w:tabs>
        <w:spacing w:before="120" w:after="120" w:line="360" w:lineRule="auto"/>
        <w:ind w:left="363"/>
        <w:rPr>
          <w:rFonts w:asciiTheme="minorHAnsi" w:hAnsiTheme="minorHAnsi" w:cstheme="minorHAnsi"/>
          <w:sz w:val="24"/>
          <w:szCs w:val="24"/>
        </w:rPr>
      </w:pPr>
      <w:r w:rsidRPr="001A6F36">
        <w:rPr>
          <w:rFonts w:asciiTheme="minorHAnsi" w:hAnsiTheme="minorHAnsi" w:cstheme="minorHAnsi"/>
          <w:sz w:val="24"/>
          <w:szCs w:val="24"/>
        </w:rPr>
        <w:t>As far as possible the service is provided in a flexible way to meet the needs of parents without compromising the needs of children.</w:t>
      </w:r>
    </w:p>
    <w:p w:rsidRPr="001A6F36" w:rsidR="001A6F36" w:rsidP="001A6F36" w:rsidRDefault="001A6F36" w14:paraId="0BEC609D" w14:textId="77777777">
      <w:pPr>
        <w:widowControl/>
        <w:numPr>
          <w:ilvl w:val="0"/>
          <w:numId w:val="22"/>
        </w:numPr>
        <w:tabs>
          <w:tab w:val="clear" w:pos="720"/>
          <w:tab w:val="num" w:pos="363"/>
        </w:tabs>
        <w:spacing w:before="120" w:after="120" w:line="360" w:lineRule="auto"/>
        <w:ind w:left="363"/>
        <w:rPr>
          <w:rFonts w:asciiTheme="minorHAnsi" w:hAnsiTheme="minorHAnsi" w:cstheme="minorHAnsi"/>
          <w:sz w:val="24"/>
          <w:szCs w:val="24"/>
        </w:rPr>
      </w:pPr>
      <w:r w:rsidRPr="001A6F36">
        <w:rPr>
          <w:rFonts w:asciiTheme="minorHAnsi" w:hAnsiTheme="minorHAnsi" w:cstheme="minorHAnsi"/>
          <w:sz w:val="24"/>
          <w:szCs w:val="24"/>
        </w:rPr>
        <w:t>Parents are involved in regular assessment of their child’s progress, including the progress check at age two, as per procedure 09.15 Progress check at age two.</w:t>
      </w:r>
    </w:p>
    <w:p w:rsidRPr="001A6F36" w:rsidR="001A6F36" w:rsidP="001A6F36" w:rsidRDefault="001A6F36" w14:paraId="06431E43"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There are effective means for communicating with parents on all relevant matters and 10.2 Complaints procedure for parents and service users is referred to when necessary.</w:t>
      </w:r>
    </w:p>
    <w:p w:rsidRPr="001A6F36" w:rsidR="001A6F36" w:rsidP="001A6F36" w:rsidRDefault="001A6F36" w14:paraId="57EC9ECB"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Every effort is made to provide an interpreter for parents who speak a language other than English and to provide translated written materials.</w:t>
      </w:r>
    </w:p>
    <w:p w:rsidRPr="001A6F36" w:rsidR="001A6F36" w:rsidP="001A6F36" w:rsidRDefault="001A6F36" w14:paraId="2B94C344"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Information about a child and their family is kept confidential within the setting. The exception to this is where there is cause to believe that a child may be suffering, or is likely to suffer, significant harm, or where there are concerns regarding their child’s development that need to be shared with another agency. Parental permission will be sought unless there are reasons not to, to protect the safety of the child.</w:t>
      </w:r>
    </w:p>
    <w:p w:rsidRPr="001A6F36" w:rsidR="001A6F36" w:rsidP="001A6F36" w:rsidRDefault="001A6F36" w14:paraId="0513C24D"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Parental consent is sought to administer medication, take a child for emergency treatment, take a child on an outing and take photographs for the purposes of record keeping.</w:t>
      </w:r>
    </w:p>
    <w:p w:rsidRPr="001A6F36" w:rsidR="001A6F36" w:rsidP="001A6F36" w:rsidRDefault="001A6F36" w14:paraId="6211B918"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Parents’ views are sought regarding changes in the delivery of the service</w:t>
      </w:r>
    </w:p>
    <w:p w:rsidRPr="001A6F36" w:rsidR="001A6F36" w:rsidP="001A6F36" w:rsidRDefault="001A6F36" w14:paraId="5CF6C59A"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t>Parents are actively encouraged to participate in decision making processes via a parent forum.</w:t>
      </w:r>
    </w:p>
    <w:p w:rsidRPr="001A6F36" w:rsidR="001A6F36" w:rsidP="001A6F36" w:rsidRDefault="001A6F36" w14:paraId="020796C4" w14:textId="77777777">
      <w:pPr>
        <w:widowControl/>
        <w:numPr>
          <w:ilvl w:val="0"/>
          <w:numId w:val="21"/>
        </w:numPr>
        <w:tabs>
          <w:tab w:val="clear" w:pos="720"/>
          <w:tab w:val="num" w:pos="363"/>
        </w:tabs>
        <w:spacing w:before="120" w:after="120" w:line="360" w:lineRule="auto"/>
        <w:ind w:left="357" w:hanging="357"/>
        <w:rPr>
          <w:rFonts w:asciiTheme="minorHAnsi" w:hAnsiTheme="minorHAnsi" w:cstheme="minorHAnsi"/>
          <w:sz w:val="24"/>
          <w:szCs w:val="24"/>
        </w:rPr>
      </w:pPr>
      <w:r w:rsidRPr="001A6F36">
        <w:rPr>
          <w:rFonts w:asciiTheme="minorHAnsi" w:hAnsiTheme="minorHAnsi" w:cstheme="minorHAnsi"/>
          <w:sz w:val="24"/>
          <w:szCs w:val="24"/>
        </w:rPr>
        <w:lastRenderedPageBreak/>
        <w:t>There are opportunities for parents to take active roles in supporting their child’s learning in the setting: informally through helping out or activities with their child, or through structured projects engaging parents and staff in their child’s learning.</w:t>
      </w:r>
    </w:p>
    <w:p w:rsidRPr="001A6F36" w:rsidR="001A6F36" w:rsidP="001A6F36" w:rsidRDefault="001A6F36" w14:paraId="782F8D4E" w14:textId="77777777">
      <w:pPr>
        <w:pStyle w:val="Heading1"/>
      </w:pPr>
      <w:r w:rsidRPr="001A6F36">
        <w:t>Agencies</w:t>
      </w:r>
    </w:p>
    <w:p w:rsidRPr="001A6F36" w:rsidR="001A6F36" w:rsidP="001A6F36" w:rsidRDefault="001A6F36" w14:paraId="2E955E2C" w14:textId="77777777">
      <w:pPr>
        <w:pStyle w:val="ListParagraph"/>
        <w:numPr>
          <w:ilvl w:val="0"/>
          <w:numId w:val="24"/>
        </w:numPr>
        <w:spacing w:before="120" w:after="120" w:line="360" w:lineRule="auto"/>
        <w:contextualSpacing w:val="0"/>
        <w:rPr>
          <w:rFonts w:asciiTheme="minorHAnsi" w:hAnsiTheme="minorHAnsi" w:cstheme="minorHAnsi"/>
        </w:rPr>
      </w:pPr>
      <w:r w:rsidRPr="001A6F36">
        <w:rPr>
          <w:rFonts w:asciiTheme="minorHAnsi" w:hAnsiTheme="minorHAnsi" w:cstheme="minorHAnsi"/>
        </w:rPr>
        <w:t>Information shared by other agencies (third party information) is also kept in confidence and not shared without consent from that agency.</w:t>
      </w:r>
    </w:p>
    <w:p w:rsidRPr="001A6F36" w:rsidR="001A6F36" w:rsidP="001A6F36" w:rsidRDefault="001A6F36" w14:paraId="334A8F95" w14:textId="77777777">
      <w:pPr>
        <w:pStyle w:val="ListParagraph"/>
        <w:numPr>
          <w:ilvl w:val="0"/>
          <w:numId w:val="24"/>
        </w:numPr>
        <w:spacing w:before="120" w:after="120" w:line="360" w:lineRule="auto"/>
        <w:contextualSpacing w:val="0"/>
        <w:rPr>
          <w:rFonts w:asciiTheme="minorHAnsi" w:hAnsiTheme="minorHAnsi" w:cstheme="minorHAnsi"/>
        </w:rPr>
      </w:pPr>
      <w:r w:rsidRPr="001A6F36">
        <w:rPr>
          <w:rFonts w:asciiTheme="minorHAnsi" w:hAnsiTheme="minorHAnsi" w:cstheme="minorHAnsi"/>
        </w:rPr>
        <w:t>When working in partnership with staff from other agencies, individuals are made to feel welcome in the setting and professional roles are respected.</w:t>
      </w:r>
    </w:p>
    <w:p w:rsidRPr="001A6F36" w:rsidR="001A6F36" w:rsidP="001A6F36" w:rsidRDefault="001A6F36" w14:paraId="4E73198D" w14:textId="77777777">
      <w:pPr>
        <w:pStyle w:val="ListParagraph"/>
        <w:numPr>
          <w:ilvl w:val="0"/>
          <w:numId w:val="24"/>
        </w:numPr>
        <w:spacing w:before="120" w:after="120" w:line="360" w:lineRule="auto"/>
        <w:contextualSpacing w:val="0"/>
        <w:rPr>
          <w:rFonts w:asciiTheme="minorHAnsi" w:hAnsiTheme="minorHAnsi" w:cstheme="minorHAnsi"/>
        </w:rPr>
      </w:pPr>
      <w:r w:rsidRPr="001A6F36">
        <w:rPr>
          <w:rFonts w:asciiTheme="minorHAnsi" w:hAnsiTheme="minorHAnsi" w:cstheme="minorHAnsi"/>
        </w:rPr>
        <w:t>Staff follow the protocols for working with agencies, for example on child protection.</w:t>
      </w:r>
    </w:p>
    <w:p w:rsidRPr="001A6F36" w:rsidR="001A6F36" w:rsidP="001A6F36" w:rsidRDefault="001A6F36" w14:paraId="30A80892" w14:textId="77777777">
      <w:pPr>
        <w:pStyle w:val="ListParagraph"/>
        <w:numPr>
          <w:ilvl w:val="0"/>
          <w:numId w:val="24"/>
        </w:numPr>
        <w:spacing w:before="120" w:after="120" w:line="360" w:lineRule="auto"/>
        <w:contextualSpacing w:val="0"/>
        <w:rPr>
          <w:rFonts w:asciiTheme="minorHAnsi" w:hAnsiTheme="minorHAnsi" w:cstheme="minorHAnsi"/>
        </w:rPr>
      </w:pPr>
      <w:r w:rsidRPr="001A6F36">
        <w:rPr>
          <w:rFonts w:asciiTheme="minorHAnsi" w:hAnsiTheme="minorHAnsi" w:cstheme="minorHAnsi"/>
        </w:rPr>
        <w:t>Staff from other agencies do not have unsupervised access to the child they are visiting in the setting and do not have access to any other children during their visit.</w:t>
      </w:r>
    </w:p>
    <w:p w:rsidRPr="001A6F36" w:rsidR="001A6F36" w:rsidP="001A6F36" w:rsidRDefault="001A6F36" w14:paraId="395D946B" w14:textId="77777777">
      <w:pPr>
        <w:pStyle w:val="ListParagraph"/>
        <w:numPr>
          <w:ilvl w:val="0"/>
          <w:numId w:val="24"/>
        </w:numPr>
        <w:spacing w:before="120" w:after="120" w:line="360" w:lineRule="auto"/>
        <w:contextualSpacing w:val="0"/>
        <w:rPr>
          <w:rFonts w:asciiTheme="minorHAnsi" w:hAnsiTheme="minorHAnsi" w:cstheme="minorHAnsi"/>
        </w:rPr>
      </w:pPr>
      <w:r w:rsidRPr="001A6F36">
        <w:rPr>
          <w:rFonts w:asciiTheme="minorHAnsi" w:hAnsiTheme="minorHAnsi" w:cstheme="minorHAnsi"/>
        </w:rPr>
        <w:t>Staff do not casually share information or seek informal advice about any named child/family.</w:t>
      </w:r>
    </w:p>
    <w:p w:rsidRPr="001A6F36" w:rsidR="001A6F36" w:rsidP="001A6F36" w:rsidRDefault="001A6F36" w14:paraId="56139C5E" w14:textId="77777777">
      <w:pPr>
        <w:pStyle w:val="ListParagraph"/>
        <w:numPr>
          <w:ilvl w:val="0"/>
          <w:numId w:val="24"/>
        </w:numPr>
        <w:tabs>
          <w:tab w:val="num" w:pos="748"/>
        </w:tabs>
        <w:spacing w:before="120" w:after="120" w:line="360" w:lineRule="auto"/>
        <w:contextualSpacing w:val="0"/>
        <w:rPr>
          <w:rFonts w:asciiTheme="minorHAnsi" w:hAnsiTheme="minorHAnsi" w:cstheme="minorHAnsi"/>
        </w:rPr>
      </w:pPr>
      <w:r w:rsidRPr="001A6F36">
        <w:rPr>
          <w:rFonts w:asciiTheme="minorHAnsi" w:hAnsiTheme="minorHAnsi" w:cstheme="minorHAnsi"/>
        </w:rPr>
        <w:t xml:space="preserve">We consult with and signpost to local and national agencies who offer a wealth of advice and information promoting staff understanding of issues facing them in their work and who can provide support and information for families. For example, ethnic/cultural organisations, drug/alcohol agencies, welfare rights advisors or organisations promoting childcare and early education, or adult education. </w:t>
      </w:r>
    </w:p>
    <w:p w:rsidRPr="001A6F36" w:rsidR="001A6F36" w:rsidP="001A6F36" w:rsidRDefault="001A6F36" w14:paraId="4962B7A3" w14:textId="77777777">
      <w:pPr>
        <w:spacing w:before="120" w:after="120" w:line="360" w:lineRule="auto"/>
        <w:rPr>
          <w:rFonts w:asciiTheme="minorHAnsi" w:hAnsiTheme="minorHAnsi" w:cstheme="minorHAnsi"/>
          <w:b/>
          <w:sz w:val="24"/>
          <w:szCs w:val="24"/>
        </w:rPr>
      </w:pPr>
      <w:r w:rsidRPr="001A6F36">
        <w:rPr>
          <w:rFonts w:asciiTheme="minorHAnsi" w:hAnsiTheme="minorHAnsi" w:cstheme="minorHAnsi"/>
          <w:b/>
          <w:sz w:val="24"/>
          <w:szCs w:val="24"/>
        </w:rPr>
        <w:t>Schools</w:t>
      </w:r>
    </w:p>
    <w:p w:rsidRPr="001A6F36" w:rsidR="001A6F36" w:rsidP="001A6F36" w:rsidRDefault="001A6F36" w14:paraId="6B2BBADC" w14:textId="77777777">
      <w:pPr>
        <w:pStyle w:val="ListParagraph"/>
        <w:numPr>
          <w:ilvl w:val="0"/>
          <w:numId w:val="23"/>
        </w:numPr>
        <w:spacing w:before="120" w:after="120" w:line="360" w:lineRule="auto"/>
        <w:contextualSpacing w:val="0"/>
        <w:rPr>
          <w:rFonts w:asciiTheme="minorHAnsi" w:hAnsiTheme="minorHAnsi" w:cstheme="minorHAnsi"/>
          <w:b/>
        </w:rPr>
      </w:pPr>
      <w:r w:rsidRPr="001A6F36">
        <w:rPr>
          <w:rFonts w:asciiTheme="minorHAnsi" w:hAnsiTheme="minorHAnsi" w:cstheme="minorHAnsi"/>
        </w:rPr>
        <w:t>Settings work in partnership with schools to assist children’s transition as per procedure 09.14 Prime times – transition to school, and share information as per procedure 07.6 Transfer of records.</w:t>
      </w:r>
    </w:p>
    <w:p w:rsidRPr="001A6F36" w:rsidR="00B53861" w:rsidP="001A6F36" w:rsidRDefault="001A6F36" w14:paraId="6A05A809" w14:textId="1CCF5A52">
      <w:pPr>
        <w:pStyle w:val="ListParagraph"/>
        <w:numPr>
          <w:ilvl w:val="0"/>
          <w:numId w:val="23"/>
        </w:numPr>
        <w:spacing w:before="120" w:after="120" w:line="360" w:lineRule="auto"/>
        <w:contextualSpacing w:val="0"/>
        <w:rPr>
          <w:rFonts w:asciiTheme="minorHAnsi" w:hAnsiTheme="minorHAnsi" w:cstheme="minorHAnsi"/>
          <w:b/>
        </w:rPr>
      </w:pPr>
      <w:r w:rsidRPr="001A6F36">
        <w:rPr>
          <w:rFonts w:asciiTheme="minorHAnsi" w:hAnsiTheme="minorHAnsi" w:cstheme="minorHAnsi"/>
        </w:rPr>
        <w:t>The setting manager actively seeks to forge partnership with local schools with the aim of sharing best practice and creating a consistent approach.</w:t>
      </w:r>
      <w:bookmarkEnd w:id="0"/>
      <w:bookmarkEnd w:id="1"/>
    </w:p>
    <w:sectPr w:rsidRPr="001A6F36" w:rsidR="00B53861" w:rsidSect="000E5EDC">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2B"/>
    <w:multiLevelType w:val="hybridMultilevel"/>
    <w:tmpl w:val="C7208D5E"/>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62D1060"/>
    <w:multiLevelType w:val="hybridMultilevel"/>
    <w:tmpl w:val="AD62157C"/>
    <w:lvl w:ilvl="0" w:tplc="07C0A38C">
      <w:start w:val="1"/>
      <w:numFmt w:val="bullet"/>
      <w:lvlText w:val=""/>
      <w:lvlJc w:val="left"/>
      <w:pPr>
        <w:tabs>
          <w:tab w:val="num" w:pos="397"/>
        </w:tabs>
        <w:ind w:left="45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D17603A"/>
    <w:multiLevelType w:val="hybridMultilevel"/>
    <w:tmpl w:val="BB461D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E6913BB"/>
    <w:multiLevelType w:val="hybridMultilevel"/>
    <w:tmpl w:val="2856C762"/>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763"/>
        </w:tabs>
        <w:ind w:left="1763" w:hanging="360"/>
      </w:pPr>
      <w:rPr>
        <w:rFonts w:hint="default" w:ascii="Courier New" w:hAnsi="Courier New" w:cs="Courier New"/>
      </w:rPr>
    </w:lvl>
    <w:lvl w:ilvl="2" w:tplc="04090005" w:tentative="1">
      <w:start w:val="1"/>
      <w:numFmt w:val="bullet"/>
      <w:lvlText w:val=""/>
      <w:lvlJc w:val="left"/>
      <w:pPr>
        <w:tabs>
          <w:tab w:val="num" w:pos="2483"/>
        </w:tabs>
        <w:ind w:left="2483" w:hanging="360"/>
      </w:pPr>
      <w:rPr>
        <w:rFonts w:hint="default" w:ascii="Wingdings" w:hAnsi="Wingdings"/>
      </w:rPr>
    </w:lvl>
    <w:lvl w:ilvl="3" w:tplc="04090001" w:tentative="1">
      <w:start w:val="1"/>
      <w:numFmt w:val="bullet"/>
      <w:lvlText w:val=""/>
      <w:lvlJc w:val="left"/>
      <w:pPr>
        <w:tabs>
          <w:tab w:val="num" w:pos="3203"/>
        </w:tabs>
        <w:ind w:left="3203" w:hanging="360"/>
      </w:pPr>
      <w:rPr>
        <w:rFonts w:hint="default" w:ascii="Symbol" w:hAnsi="Symbol"/>
      </w:rPr>
    </w:lvl>
    <w:lvl w:ilvl="4" w:tplc="04090003" w:tentative="1">
      <w:start w:val="1"/>
      <w:numFmt w:val="bullet"/>
      <w:lvlText w:val="o"/>
      <w:lvlJc w:val="left"/>
      <w:pPr>
        <w:tabs>
          <w:tab w:val="num" w:pos="3923"/>
        </w:tabs>
        <w:ind w:left="3923" w:hanging="360"/>
      </w:pPr>
      <w:rPr>
        <w:rFonts w:hint="default" w:ascii="Courier New" w:hAnsi="Courier New" w:cs="Courier New"/>
      </w:rPr>
    </w:lvl>
    <w:lvl w:ilvl="5" w:tplc="04090005" w:tentative="1">
      <w:start w:val="1"/>
      <w:numFmt w:val="bullet"/>
      <w:lvlText w:val=""/>
      <w:lvlJc w:val="left"/>
      <w:pPr>
        <w:tabs>
          <w:tab w:val="num" w:pos="4643"/>
        </w:tabs>
        <w:ind w:left="4643" w:hanging="360"/>
      </w:pPr>
      <w:rPr>
        <w:rFonts w:hint="default" w:ascii="Wingdings" w:hAnsi="Wingdings"/>
      </w:rPr>
    </w:lvl>
    <w:lvl w:ilvl="6" w:tplc="04090001" w:tentative="1">
      <w:start w:val="1"/>
      <w:numFmt w:val="bullet"/>
      <w:lvlText w:val=""/>
      <w:lvlJc w:val="left"/>
      <w:pPr>
        <w:tabs>
          <w:tab w:val="num" w:pos="5363"/>
        </w:tabs>
        <w:ind w:left="5363" w:hanging="360"/>
      </w:pPr>
      <w:rPr>
        <w:rFonts w:hint="default" w:ascii="Symbol" w:hAnsi="Symbol"/>
      </w:rPr>
    </w:lvl>
    <w:lvl w:ilvl="7" w:tplc="04090003" w:tentative="1">
      <w:start w:val="1"/>
      <w:numFmt w:val="bullet"/>
      <w:lvlText w:val="o"/>
      <w:lvlJc w:val="left"/>
      <w:pPr>
        <w:tabs>
          <w:tab w:val="num" w:pos="6083"/>
        </w:tabs>
        <w:ind w:left="6083" w:hanging="360"/>
      </w:pPr>
      <w:rPr>
        <w:rFonts w:hint="default" w:ascii="Courier New" w:hAnsi="Courier New" w:cs="Courier New"/>
      </w:rPr>
    </w:lvl>
    <w:lvl w:ilvl="8" w:tplc="04090005" w:tentative="1">
      <w:start w:val="1"/>
      <w:numFmt w:val="bullet"/>
      <w:lvlText w:val=""/>
      <w:lvlJc w:val="left"/>
      <w:pPr>
        <w:tabs>
          <w:tab w:val="num" w:pos="6803"/>
        </w:tabs>
        <w:ind w:left="6803" w:hanging="360"/>
      </w:pPr>
      <w:rPr>
        <w:rFonts w:hint="default" w:ascii="Wingdings" w:hAnsi="Wingdings"/>
      </w:rPr>
    </w:lvl>
  </w:abstractNum>
  <w:abstractNum w:abstractNumId="4" w15:restartNumberingAfterBreak="0">
    <w:nsid w:val="0EBE3679"/>
    <w:multiLevelType w:val="hybridMultilevel"/>
    <w:tmpl w:val="E12CE7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42E4F78"/>
    <w:multiLevelType w:val="hybridMultilevel"/>
    <w:tmpl w:val="FE3AA21A"/>
    <w:lvl w:ilvl="0" w:tplc="FFFFFFFF">
      <w:start w:val="1"/>
      <w:numFmt w:val="bullet"/>
      <w:lvlText w:val=""/>
      <w:lvlJc w:val="left"/>
      <w:pPr>
        <w:tabs>
          <w:tab w:val="num" w:pos="720"/>
        </w:tabs>
        <w:ind w:left="720"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4CF7524"/>
    <w:multiLevelType w:val="hybridMultilevel"/>
    <w:tmpl w:val="73062FCA"/>
    <w:lvl w:ilvl="0" w:tplc="FFFFFFFF">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1879CE"/>
    <w:multiLevelType w:val="hybridMultilevel"/>
    <w:tmpl w:val="59F6B03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20837B3"/>
    <w:multiLevelType w:val="hybridMultilevel"/>
    <w:tmpl w:val="16A65C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4603ADE"/>
    <w:multiLevelType w:val="hybridMultilevel"/>
    <w:tmpl w:val="4694E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D10EB5"/>
    <w:multiLevelType w:val="hybridMultilevel"/>
    <w:tmpl w:val="C73E46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5071967"/>
    <w:multiLevelType w:val="hybridMultilevel"/>
    <w:tmpl w:val="9A566148"/>
    <w:lvl w:ilvl="0" w:tplc="04090001">
      <w:start w:val="1"/>
      <w:numFmt w:val="bullet"/>
      <w:lvlText w:val=""/>
      <w:lvlJc w:val="left"/>
      <w:pPr>
        <w:tabs>
          <w:tab w:val="num" w:pos="757"/>
        </w:tabs>
        <w:ind w:left="757"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A047A5C"/>
    <w:multiLevelType w:val="hybridMultilevel"/>
    <w:tmpl w:val="FEDCF0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18727EC"/>
    <w:multiLevelType w:val="hybridMultilevel"/>
    <w:tmpl w:val="1252103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5841863"/>
    <w:multiLevelType w:val="hybridMultilevel"/>
    <w:tmpl w:val="86921C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76955D3"/>
    <w:multiLevelType w:val="hybridMultilevel"/>
    <w:tmpl w:val="3FF62B9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85073DF"/>
    <w:multiLevelType w:val="hybridMultilevel"/>
    <w:tmpl w:val="E47E5F18"/>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1">
      <w:start w:val="1"/>
      <w:numFmt w:val="bullet"/>
      <w:lvlText w:val=""/>
      <w:lvlJc w:val="left"/>
      <w:pPr>
        <w:tabs>
          <w:tab w:val="num" w:pos="2520"/>
        </w:tabs>
        <w:ind w:left="2520" w:hanging="360"/>
      </w:pPr>
      <w:rPr>
        <w:rFonts w:hint="default" w:ascii="Symbol" w:hAnsi="Symbol"/>
      </w:rPr>
    </w:lvl>
    <w:lvl w:ilvl="3" w:tplc="0409000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52F00967"/>
    <w:multiLevelType w:val="hybridMultilevel"/>
    <w:tmpl w:val="A5CAB942"/>
    <w:lvl w:ilvl="0" w:tplc="07C0A38C">
      <w:start w:val="1"/>
      <w:numFmt w:val="bullet"/>
      <w:lvlText w:val=""/>
      <w:lvlJc w:val="left"/>
      <w:pPr>
        <w:tabs>
          <w:tab w:val="num" w:pos="397"/>
        </w:tabs>
        <w:ind w:left="454" w:hanging="284"/>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ACF0A24"/>
    <w:multiLevelType w:val="hybridMultilevel"/>
    <w:tmpl w:val="7D78E0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BBC7D48"/>
    <w:multiLevelType w:val="hybridMultilevel"/>
    <w:tmpl w:val="FD08E7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E273D52"/>
    <w:multiLevelType w:val="hybridMultilevel"/>
    <w:tmpl w:val="6C2429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1A42DFC"/>
    <w:multiLevelType w:val="hybridMultilevel"/>
    <w:tmpl w:val="C8EA4E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696D49F5"/>
    <w:multiLevelType w:val="hybridMultilevel"/>
    <w:tmpl w:val="EEACDA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A1C5B42"/>
    <w:multiLevelType w:val="hybridMultilevel"/>
    <w:tmpl w:val="499C6D3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919681349">
    <w:abstractNumId w:val="13"/>
  </w:num>
  <w:num w:numId="2" w16cid:durableId="1274242949">
    <w:abstractNumId w:val="14"/>
  </w:num>
  <w:num w:numId="3" w16cid:durableId="986326900">
    <w:abstractNumId w:val="15"/>
  </w:num>
  <w:num w:numId="4" w16cid:durableId="738215925">
    <w:abstractNumId w:val="21"/>
  </w:num>
  <w:num w:numId="5" w16cid:durableId="38288703">
    <w:abstractNumId w:val="8"/>
  </w:num>
  <w:num w:numId="6" w16cid:durableId="226456370">
    <w:abstractNumId w:val="18"/>
  </w:num>
  <w:num w:numId="7" w16cid:durableId="900210193">
    <w:abstractNumId w:val="19"/>
  </w:num>
  <w:num w:numId="8" w16cid:durableId="1036781315">
    <w:abstractNumId w:val="22"/>
  </w:num>
  <w:num w:numId="9" w16cid:durableId="143936683">
    <w:abstractNumId w:val="16"/>
  </w:num>
  <w:num w:numId="10" w16cid:durableId="635918074">
    <w:abstractNumId w:val="0"/>
  </w:num>
  <w:num w:numId="11" w16cid:durableId="1048918275">
    <w:abstractNumId w:val="11"/>
  </w:num>
  <w:num w:numId="12" w16cid:durableId="1442341280">
    <w:abstractNumId w:val="20"/>
  </w:num>
  <w:num w:numId="13" w16cid:durableId="71857339">
    <w:abstractNumId w:val="7"/>
  </w:num>
  <w:num w:numId="14" w16cid:durableId="1404914318">
    <w:abstractNumId w:val="1"/>
  </w:num>
  <w:num w:numId="15" w16cid:durableId="341592567">
    <w:abstractNumId w:val="17"/>
  </w:num>
  <w:num w:numId="16" w16cid:durableId="765661458">
    <w:abstractNumId w:val="3"/>
  </w:num>
  <w:num w:numId="17" w16cid:durableId="1039210889">
    <w:abstractNumId w:val="12"/>
  </w:num>
  <w:num w:numId="18" w16cid:durableId="2006006556">
    <w:abstractNumId w:val="10"/>
  </w:num>
  <w:num w:numId="19" w16cid:durableId="1024401306">
    <w:abstractNumId w:val="9"/>
  </w:num>
  <w:num w:numId="20" w16cid:durableId="1403022375">
    <w:abstractNumId w:val="23"/>
  </w:num>
  <w:num w:numId="21" w16cid:durableId="1845316768">
    <w:abstractNumId w:val="5"/>
  </w:num>
  <w:num w:numId="22" w16cid:durableId="2106222237">
    <w:abstractNumId w:val="6"/>
  </w:num>
  <w:num w:numId="23" w16cid:durableId="2116513853">
    <w:abstractNumId w:val="2"/>
  </w:num>
  <w:num w:numId="24" w16cid:durableId="1686470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3861"/>
    <w:rsid w:val="00000FD7"/>
    <w:rsid w:val="000703C4"/>
    <w:rsid w:val="000E5EDC"/>
    <w:rsid w:val="001A6F36"/>
    <w:rsid w:val="003C5EA8"/>
    <w:rsid w:val="00442C3D"/>
    <w:rsid w:val="00645E06"/>
    <w:rsid w:val="007D67A0"/>
    <w:rsid w:val="008651AA"/>
    <w:rsid w:val="00B53861"/>
    <w:rsid w:val="00B71A51"/>
    <w:rsid w:val="00C51C04"/>
    <w:rsid w:val="00D05BB9"/>
    <w:rsid w:val="00D56694"/>
    <w:rsid w:val="00E24388"/>
    <w:rsid w:val="00FE77DC"/>
    <w:rsid w:val="0D5519DC"/>
    <w:rsid w:val="1740F167"/>
    <w:rsid w:val="21848DD5"/>
    <w:rsid w:val="49444231"/>
    <w:rsid w:val="4CA923E1"/>
    <w:rsid w:val="4F52B03D"/>
    <w:rsid w:val="517B964E"/>
    <w:rsid w:val="76154BFE"/>
    <w:rsid w:val="7B89D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F76D"/>
  <w15:docId w15:val="{5E93A7B1-4794-427F-B892-2F92A6C7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3861"/>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1A6F36"/>
    <w:pPr>
      <w:keepNext/>
      <w:tabs>
        <w:tab w:val="left" w:pos="-720"/>
      </w:tabs>
      <w:suppressAutoHyphens/>
      <w:spacing w:before="120" w:after="120" w:line="360" w:lineRule="auto"/>
      <w:outlineLvl w:val="0"/>
    </w:pPr>
    <w:rPr>
      <w:rFonts w:ascii="Palatino Linotype" w:hAnsi="Palatino Linotype"/>
      <w:b/>
      <w:bCs/>
      <w:spacing w:val="-3"/>
      <w:sz w:val="24"/>
      <w:u w:val="single"/>
    </w:rPr>
  </w:style>
  <w:style w:type="paragraph" w:styleId="Heading2">
    <w:name w:val="heading 2"/>
    <w:basedOn w:val="Normal"/>
    <w:next w:val="Normal"/>
    <w:link w:val="Heading2Char"/>
    <w:autoRedefine/>
    <w:qFormat/>
    <w:rsid w:val="00B53861"/>
    <w:pPr>
      <w:keepNext/>
      <w:tabs>
        <w:tab w:val="left" w:pos="-720"/>
      </w:tabs>
      <w:suppressAutoHyphens/>
      <w:spacing w:after="120"/>
      <w:outlineLvl w:val="1"/>
    </w:pPr>
    <w:rPr>
      <w:rFonts w:ascii="Arial" w:hAnsi="Arial" w:cs="Arial"/>
      <w:b/>
      <w:shadow/>
      <w:spacing w:val="-3"/>
      <w:sz w:val="22"/>
    </w:rPr>
  </w:style>
  <w:style w:type="paragraph" w:styleId="Heading3">
    <w:name w:val="heading 3"/>
    <w:basedOn w:val="Normal"/>
    <w:next w:val="Normal"/>
    <w:link w:val="Heading3Char"/>
    <w:uiPriority w:val="9"/>
    <w:semiHidden/>
    <w:unhideWhenUsed/>
    <w:qFormat/>
    <w:rsid w:val="00FE77DC"/>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rsid w:val="00B53861"/>
    <w:pPr>
      <w:keepNext/>
      <w:tabs>
        <w:tab w:val="left" w:pos="0"/>
      </w:tabs>
      <w:suppressAutoHyphens/>
      <w:outlineLvl w:val="3"/>
    </w:pPr>
    <w:rPr>
      <w:rFonts w:ascii="Verdana" w:hAnsi="Verdana" w:cs="Arial"/>
      <w:b/>
      <w:shadow/>
      <w:spacing w:val="-3"/>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1A6F36"/>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B53861"/>
    <w:rPr>
      <w:rFonts w:ascii="Arial" w:hAnsi="Arial" w:eastAsia="Times New Roman" w:cs="Arial"/>
      <w:b/>
      <w:shadow/>
      <w:snapToGrid w:val="0"/>
      <w:spacing w:val="-3"/>
      <w:szCs w:val="20"/>
      <w:lang w:val="en-US"/>
    </w:rPr>
  </w:style>
  <w:style w:type="character" w:styleId="Heading4Char" w:customStyle="1">
    <w:name w:val="Heading 4 Char"/>
    <w:basedOn w:val="DefaultParagraphFont"/>
    <w:link w:val="Heading4"/>
    <w:rsid w:val="00B53861"/>
    <w:rPr>
      <w:rFonts w:ascii="Verdana" w:hAnsi="Verdana" w:eastAsia="Times New Roman" w:cs="Arial"/>
      <w:b/>
      <w:shadow/>
      <w:snapToGrid w:val="0"/>
      <w:spacing w:val="-3"/>
      <w:sz w:val="28"/>
      <w:szCs w:val="20"/>
      <w:lang w:val="en-US"/>
    </w:rPr>
  </w:style>
  <w:style w:type="paragraph" w:styleId="ecmsonormal" w:customStyle="1">
    <w:name w:val="ec_msonormal"/>
    <w:basedOn w:val="Normal"/>
    <w:rsid w:val="00B53861"/>
    <w:pPr>
      <w:widowControl/>
      <w:spacing w:after="324"/>
    </w:pPr>
    <w:rPr>
      <w:snapToGrid/>
      <w:sz w:val="24"/>
      <w:szCs w:val="24"/>
    </w:rPr>
  </w:style>
  <w:style w:type="paragraph" w:styleId="ListParagraph">
    <w:name w:val="List Paragraph"/>
    <w:basedOn w:val="Normal"/>
    <w:uiPriority w:val="34"/>
    <w:qFormat/>
    <w:rsid w:val="00B53861"/>
    <w:pPr>
      <w:widowControl/>
      <w:ind w:left="720"/>
      <w:contextualSpacing/>
    </w:pPr>
    <w:rPr>
      <w:snapToGrid/>
      <w:sz w:val="24"/>
      <w:szCs w:val="24"/>
      <w:lang w:val="en-GB" w:eastAsia="en-GB"/>
    </w:rPr>
  </w:style>
  <w:style w:type="table" w:styleId="TableGrid">
    <w:name w:val="Table Grid"/>
    <w:basedOn w:val="TableNormal"/>
    <w:uiPriority w:val="59"/>
    <w:rsid w:val="00B538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link w:val="SubtitleChar"/>
    <w:qFormat/>
    <w:rsid w:val="00B53861"/>
    <w:pPr>
      <w:tabs>
        <w:tab w:val="left" w:pos="-720"/>
      </w:tabs>
      <w:suppressAutoHyphens/>
      <w:jc w:val="center"/>
    </w:pPr>
    <w:rPr>
      <w:rFonts w:ascii="Arial" w:hAnsi="Arial"/>
      <w:b/>
      <w:shadow/>
      <w:spacing w:val="-3"/>
      <w:sz w:val="24"/>
    </w:rPr>
  </w:style>
  <w:style w:type="character" w:styleId="SubtitleChar" w:customStyle="1">
    <w:name w:val="Subtitle Char"/>
    <w:basedOn w:val="DefaultParagraphFont"/>
    <w:link w:val="Subtitle"/>
    <w:rsid w:val="00B53861"/>
    <w:rPr>
      <w:rFonts w:ascii="Arial" w:hAnsi="Arial" w:eastAsia="Times New Roman" w:cs="Times New Roman"/>
      <w:b/>
      <w:shadow/>
      <w:snapToGrid w:val="0"/>
      <w:spacing w:val="-3"/>
      <w:sz w:val="24"/>
      <w:szCs w:val="20"/>
      <w:lang w:val="en-US"/>
    </w:rPr>
  </w:style>
  <w:style w:type="character" w:styleId="Heading3Char" w:customStyle="1">
    <w:name w:val="Heading 3 Char"/>
    <w:basedOn w:val="DefaultParagraphFont"/>
    <w:link w:val="Heading3"/>
    <w:uiPriority w:val="9"/>
    <w:semiHidden/>
    <w:rsid w:val="00FE77DC"/>
    <w:rPr>
      <w:rFonts w:asciiTheme="majorHAnsi" w:hAnsiTheme="majorHAnsi" w:eastAsiaTheme="majorEastAsia" w:cstheme="majorBidi"/>
      <w:b/>
      <w:bCs/>
      <w:snapToGrid w:val="0"/>
      <w:color w:val="4F81BD" w:themeColor="accent1"/>
      <w:sz w:val="20"/>
      <w:szCs w:val="20"/>
      <w:lang w:val="en-US"/>
    </w:rPr>
  </w:style>
  <w:style w:type="paragraph" w:styleId="BodyText">
    <w:name w:val="Body Text"/>
    <w:basedOn w:val="Normal"/>
    <w:link w:val="BodyTextChar"/>
    <w:rsid w:val="00FE77DC"/>
    <w:pPr>
      <w:tabs>
        <w:tab w:val="left" w:pos="0"/>
        <w:tab w:val="left" w:pos="284"/>
        <w:tab w:val="left" w:pos="720"/>
      </w:tabs>
      <w:suppressAutoHyphens/>
    </w:pPr>
    <w:rPr>
      <w:rFonts w:ascii="Arial" w:hAnsi="Arial" w:cs="Arial"/>
      <w:shadow/>
      <w:spacing w:val="-3"/>
      <w:sz w:val="22"/>
    </w:rPr>
  </w:style>
  <w:style w:type="character" w:styleId="BodyTextChar" w:customStyle="1">
    <w:name w:val="Body Text Char"/>
    <w:basedOn w:val="DefaultParagraphFont"/>
    <w:link w:val="BodyText"/>
    <w:rsid w:val="00FE77DC"/>
    <w:rPr>
      <w:rFonts w:ascii="Arial" w:hAnsi="Arial" w:eastAsia="Times New Roman" w:cs="Arial"/>
      <w:shadow/>
      <w:snapToGrid w:val="0"/>
      <w:spacing w:val="-3"/>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9c11724df0e74d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92FDB-53C8-4540-BC07-5A2C68013EC9}">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customXml/itemProps2.xml><?xml version="1.0" encoding="utf-8"?>
<ds:datastoreItem xmlns:ds="http://schemas.openxmlformats.org/officeDocument/2006/customXml" ds:itemID="{C29AEEC9-48B0-40DC-A1A4-B6AD6E52FF99}">
  <ds:schemaRefs>
    <ds:schemaRef ds:uri="http://schemas.microsoft.com/sharepoint/v3/contenttype/forms"/>
  </ds:schemaRefs>
</ds:datastoreItem>
</file>

<file path=customXml/itemProps3.xml><?xml version="1.0" encoding="utf-8"?>
<ds:datastoreItem xmlns:ds="http://schemas.openxmlformats.org/officeDocument/2006/customXml" ds:itemID="{69472946-DE08-407A-92FC-C158916E6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Chair Person</cp:lastModifiedBy>
  <cp:revision>4</cp:revision>
  <cp:lastPrinted>2019-05-16T17:03:00Z</cp:lastPrinted>
  <dcterms:created xsi:type="dcterms:W3CDTF">2024-03-23T18:15:00Z</dcterms:created>
  <dcterms:modified xsi:type="dcterms:W3CDTF">2025-03-18T13:24:00Z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